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00"/>
        <w:gridCol w:w="66"/>
      </w:tblGrid>
      <w:tr w:rsidR="00865FBF" w:rsidRPr="00865FBF" w14:paraId="4E6177FE" w14:textId="77777777" w:rsidTr="00DE3747">
        <w:trPr>
          <w:trHeight w:val="82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54F0C3E" w14:textId="66F6EE37" w:rsidR="00865FBF" w:rsidRPr="00EF6CC4" w:rsidRDefault="00865FBF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44"/>
                <w:szCs w:val="44"/>
              </w:rPr>
            </w:pPr>
            <w:r w:rsidRPr="00EF6CC4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九州好好玩．一日自遊行</w:t>
            </w:r>
            <w:r w:rsidR="00EF6CC4" w:rsidRPr="00EF6CC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５</w:t>
            </w:r>
            <w:r w:rsidRPr="00EF6CC4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+</w:t>
            </w:r>
            <w:r w:rsidR="00EF6CC4" w:rsidRPr="00EF6CC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１</w:t>
            </w:r>
            <w:r w:rsidRPr="00EF6CC4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日</w:t>
            </w:r>
          </w:p>
          <w:p w14:paraId="005EE190" w14:textId="77777777" w:rsidR="00EF6CC4" w:rsidRDefault="00EF6CC4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36"/>
                <w:szCs w:val="36"/>
              </w:rPr>
            </w:pPr>
            <w:r w:rsidRPr="00EF6CC4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36"/>
                <w:szCs w:val="36"/>
              </w:rPr>
              <w:t>海底隧道、小倉城、觀光列車、鋼彈機器人</w:t>
            </w:r>
          </w:p>
          <w:p w14:paraId="087A1417" w14:textId="70AC934F" w:rsidR="00EF6CC4" w:rsidRPr="00EF6CC4" w:rsidRDefault="00EF6CC4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36"/>
                <w:szCs w:val="36"/>
              </w:rPr>
            </w:pPr>
            <w:r w:rsidRPr="00865FBF">
              <w:rPr>
                <w:rFonts w:ascii="微軟正黑體" w:eastAsia="微軟正黑體" w:hAnsi="微軟正黑體" w:cs="新細明體"/>
                <w:noProof/>
                <w:kern w:val="0"/>
                <w:szCs w:val="24"/>
              </w:rPr>
              <w:drawing>
                <wp:inline distT="0" distB="0" distL="0" distR="0" wp14:anchorId="279C4339" wp14:editId="5D155217">
                  <wp:extent cx="5760000" cy="4320000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BF" w:rsidRPr="00EF6CC4" w14:paraId="68C17057" w14:textId="77777777" w:rsidTr="00DE3747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8206"/>
            </w:tblGrid>
            <w:tr w:rsidR="00865FBF" w:rsidRPr="00EF6CC4" w14:paraId="1EB0E779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046FEFC" w14:textId="77777777" w:rsidR="00865FBF" w:rsidRPr="00EF6CC4" w:rsidRDefault="00865FBF" w:rsidP="00EF6CC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團費說明：</w:t>
                  </w:r>
                </w:p>
              </w:tc>
            </w:tr>
            <w:tr w:rsidR="00865FBF" w:rsidRPr="00EF6CC4" w14:paraId="6C7BE2A3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03ACC78E" w14:textId="77777777" w:rsidR="00865FBF" w:rsidRPr="00EF6CC4" w:rsidRDefault="00865FBF" w:rsidP="00EF6CC4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6CC4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團費包含：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167047B7" w14:textId="77777777" w:rsidR="00865FBF" w:rsidRPr="00EF6CC4" w:rsidRDefault="00865FBF" w:rsidP="00EF6CC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6CC4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返經濟艙機票、旅責險和行程所列包項目</w:t>
                  </w:r>
                </w:p>
              </w:tc>
            </w:tr>
            <w:tr w:rsidR="00865FBF" w:rsidRPr="00EF6CC4" w14:paraId="7A0353BF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67B27907" w14:textId="77777777" w:rsidR="00865FBF" w:rsidRPr="00EF6CC4" w:rsidRDefault="00865FBF" w:rsidP="00EF6CC4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6CC4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團費不含：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44D9FE73" w14:textId="77777777" w:rsidR="00865FBF" w:rsidRPr="00EF6CC4" w:rsidRDefault="00865FBF" w:rsidP="00EF6CC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6CC4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詳細請見注意事項【費用不包含說明】</w:t>
                  </w:r>
                </w:p>
              </w:tc>
            </w:tr>
          </w:tbl>
          <w:p w14:paraId="6CB0BBA6" w14:textId="77777777" w:rsidR="00865FBF" w:rsidRPr="00EF6CC4" w:rsidRDefault="00865FBF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531BB37C" w14:textId="77777777" w:rsidR="00865FBF" w:rsidRPr="00EF6CC4" w:rsidRDefault="00865FBF" w:rsidP="00EF6CC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865FBF" w:rsidRPr="00EF6CC4" w14:paraId="45E6BFBC" w14:textId="77777777" w:rsidTr="00DE37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FFA0B5" w14:textId="61BD20A6" w:rsidR="00865FBF" w:rsidRPr="00EF6CC4" w:rsidRDefault="00865FBF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EF6CC4">
              <w:rPr>
                <w:rFonts w:ascii="微軟正黑體" w:eastAsia="微軟正黑體" w:hAnsi="微軟正黑體" w:cs="Times New Roman"/>
                <w:noProof/>
                <w:kern w:val="0"/>
                <w:szCs w:val="24"/>
              </w:rPr>
              <w:drawing>
                <wp:inline distT="0" distB="0" distL="0" distR="0" wp14:anchorId="23309374" wp14:editId="58660687">
                  <wp:extent cx="828675" cy="1905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340"/>
            </w:tblGrid>
            <w:tr w:rsidR="00865FBF" w:rsidRPr="00EF6CC4" w14:paraId="393B5927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8"/>
                    <w:gridCol w:w="2065"/>
                    <w:gridCol w:w="2065"/>
                    <w:gridCol w:w="2065"/>
                    <w:gridCol w:w="1340"/>
                    <w:gridCol w:w="1340"/>
                  </w:tblGrid>
                  <w:tr w:rsidR="00865FBF" w:rsidRPr="00EF6CC4" w14:paraId="067FB1E4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6CC51731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天數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6017B207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出發日期-時間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815A0DF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抵達日期-時間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0C934D2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起飛-抵達城市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1FC43C5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航空公司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5C08A1F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航班編號</w:t>
                        </w:r>
                      </w:p>
                    </w:tc>
                  </w:tr>
                  <w:tr w:rsidR="00865FBF" w:rsidRPr="00EF6CC4" w14:paraId="43B928BC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BD82E26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第1天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5F6F5C18" w14:textId="152F45BB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02:30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E2CDAF6" w14:textId="4698DA2F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05:50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29D8EBD5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TPE/KKJ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1DC0367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707B42A8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7G001</w:t>
                        </w:r>
                      </w:p>
                    </w:tc>
                  </w:tr>
                  <w:tr w:rsidR="00865FBF" w:rsidRPr="00EF6CC4" w14:paraId="18E4AEFE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15C8EE3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第5天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6E26518" w14:textId="5192DC51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23:50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764D2042" w14:textId="0A1AF0E9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01:00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7DB7C51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KKJ/TPE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A3CD81E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5B3B9C36" w14:textId="77777777" w:rsidR="00865FBF" w:rsidRPr="00EF6CC4" w:rsidRDefault="00865FBF" w:rsidP="00EF6CC4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7G002</w:t>
                        </w:r>
                      </w:p>
                    </w:tc>
                  </w:tr>
                </w:tbl>
                <w:p w14:paraId="181A04EB" w14:textId="77777777" w:rsidR="00865FBF" w:rsidRPr="00EF6CC4" w:rsidRDefault="00865FBF" w:rsidP="00EF6CC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4D80655" w14:textId="77777777" w:rsidR="00865FBF" w:rsidRPr="00EF6CC4" w:rsidRDefault="00865FBF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Cs w:val="24"/>
              </w:rPr>
            </w:pPr>
          </w:p>
          <w:p w14:paraId="051C4303" w14:textId="4E953AFB" w:rsidR="00865FBF" w:rsidRPr="00EF6CC4" w:rsidRDefault="00EF6CC4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Cs w:val="24"/>
              </w:rPr>
            </w:pPr>
            <w:r w:rsidRPr="00EF6CC4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4E04917D" wp14:editId="63B957B1">
                  <wp:extent cx="790575" cy="1905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95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7"/>
            </w:tblGrid>
            <w:tr w:rsidR="00865FBF" w:rsidRPr="00EF6CC4" w14:paraId="42EC960D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306FCCF" w14:textId="77777777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1 天 桃園國際機場／北九州空港→連接日本本州與九州【關門海峽大橋】→日本怪談的背景舞台-龍宮殿【赤間神宮】→【關門海峽海底隧道】一腳跨過海底分界→20世紀【門司港懷舊區】散策→小倉飯店</w:t>
                  </w:r>
                </w:p>
                <w:p w14:paraId="28438FB3" w14:textId="45E8A75E" w:rsidR="00F963CD" w:rsidRPr="00EF6CC4" w:rsidRDefault="00F963CD" w:rsidP="00DE3747">
                  <w:pPr>
                    <w:widowControl/>
                    <w:shd w:val="clear" w:color="auto" w:fill="FFFFFF"/>
                    <w:spacing w:line="0" w:lineRule="atLeast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lastRenderedPageBreak/>
                    <w:drawing>
                      <wp:inline distT="0" distB="0" distL="0" distR="0" wp14:anchorId="6F9EF33A" wp14:editId="1A164748">
                        <wp:extent cx="1919878" cy="1440000"/>
                        <wp:effectExtent l="0" t="0" r="4445" b="8255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0A36B127" wp14:editId="4BB92D93">
                        <wp:extent cx="1919878" cy="1440000"/>
                        <wp:effectExtent l="0" t="0" r="4445" b="8255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6F60E4EB" wp14:editId="44CEC71B">
                        <wp:extent cx="1919878" cy="1440000"/>
                        <wp:effectExtent l="0" t="0" r="4445" b="825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5FBF" w:rsidRPr="00EF6CC4" w14:paraId="7A1AE5F7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46EF9A" w14:textId="7FF0CDB4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lastRenderedPageBreak/>
                    <w:t>【關門海峽大橋】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橫跨日本九洲與本州間狹長海峽的日本三大漩渦聞名處，離水面61公尺、橋長1068公尺的關門大橋完工於1973年，是連接九州、本州的交通要道，為東洋當時第一長的大吊橋。關門海峽的自然景觀獨特優美，幾百艘的船隻在此匯集。每年的煙火大會非常盛大，來自四面八方的遊客都會聚集到這裡。</w:t>
                  </w:r>
                </w:p>
                <w:p w14:paraId="718AB0B0" w14:textId="54107DD5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【赤間神宮】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位在山口縣下關市的赤間神宮，是一座擁有超過800年歷史的神社，也是下關市居民的信仰中心。神社的朱紅色水天門以龍宮城為構思，令人眼睛為之一亮。神社面海而立，以守護與水有關的各種庇佑聞名，據說對防止水災和特種行業興隆特別靈驗。在明治維新後，因實施「神佛分離令」，祭拜安德天皇的阿彌陀寺被改為天皇社，之後跟其他祭拜日本皇室祖先、天皇的寺廟，一同升格為「神宮」。因下關市古名叫赤間關，赤間神宮也因此得名。</w:t>
                  </w:r>
                </w:p>
                <w:p w14:paraId="2A63079A" w14:textId="24678658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【關門海峽海底隧道】</w:t>
                  </w:r>
                  <w:r w:rsidRPr="00EF6CC4">
                    <w:rPr>
                      <w:rFonts w:ascii="微軟正黑體" w:eastAsia="微軟正黑體" w:hAnsi="微軟正黑體" w:cs="Arial"/>
                      <w:kern w:val="0"/>
                      <w:sz w:val="22"/>
                    </w:rPr>
                    <w:t>是一條連接日本山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口縣 下關市與福岡縣北九州市的特殊隧道，全長780公尺，位於關門海峽的海底，是日本唯一一座跨越海峽底部的人行專用道。海底隧道上下分層，上層是車道，下層為步行道。隧道中間有福岡縣和山口縣的分界標識，這裡因為稀有的海底分界而有名。</w:t>
                  </w:r>
                </w:p>
                <w:p w14:paraId="684354D9" w14:textId="1005A9B1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【門司港懷舊區】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門司港是日本福岡縣的一個歷史悠久的港口城市。這裡有保存完好的古老碼頭建築和倉庫，可以感受到濃厚的港口氛圍。當時建造的歷史建築至今仍遍布於街上，此地區懷舊的街道氣氛魅力十足，深受歡迎。其他還有關門海峽的壯闊景色及當地美食，是一處精彩看點不勝枚舉的觀光勝地。</w:t>
                  </w:r>
                </w:p>
              </w:tc>
            </w:tr>
            <w:tr w:rsidR="00865FBF" w:rsidRPr="00EF6CC4" w14:paraId="5BB56011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9"/>
                    <w:gridCol w:w="2882"/>
                    <w:gridCol w:w="3309"/>
                  </w:tblGrid>
                  <w:tr w:rsidR="00865FBF" w:rsidRPr="00EF6CC4" w14:paraId="7CB7B542" w14:textId="77777777" w:rsidTr="00865FBF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74F52C77" w14:textId="224F3F2D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住宿：【 Hotel Route Inn系列飯店 】或【 ART Hotel 】或【 Quintessa系列飯店 】或【 JR九州小倉車站飯店 】或【康福飯店 小倉 】或【 Premier Hotel門司港】 或同等級旅館</w:t>
                        </w:r>
                      </w:p>
                    </w:tc>
                  </w:tr>
                  <w:tr w:rsidR="00865FBF" w:rsidRPr="00EF6CC4" w14:paraId="6A605AD1" w14:textId="77777777" w:rsidTr="00865FB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88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EB191B3" w14:textId="65C07778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早餐：機上飲品+特別贈送～精緻小壽司+綠茶￥1000</w:t>
                        </w:r>
                      </w:p>
                    </w:tc>
                    <w:tc>
                      <w:tcPr>
                        <w:tcW w:w="14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6D2F4914" w14:textId="0897F4B7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中餐：北九州燒咖哩料理 ￥2000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4A13884A" w14:textId="4893B62B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0D88FF43" w14:textId="77777777" w:rsidR="00865FBF" w:rsidRPr="00EF6CC4" w:rsidRDefault="00865FBF" w:rsidP="00DE3747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865FBF" w:rsidRPr="00EF6CC4" w14:paraId="51B406A3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F6CEA5" w14:textId="77777777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2 天 飯店→續百大名城～互動體驗超多嚴流島決戰城堡【小倉城】～境內八坂神社→日本第一個全長130米的拱廊的天篷銀光閃耀之街【魚町銀天街】→在地人的中央廚房【旦過市場】→福岡飯店</w:t>
                  </w:r>
                </w:p>
                <w:p w14:paraId="4BA345A7" w14:textId="4C539D01" w:rsidR="000E3A0C" w:rsidRPr="00EF6CC4" w:rsidRDefault="000E3A0C" w:rsidP="00DE3747">
                  <w:pPr>
                    <w:widowControl/>
                    <w:shd w:val="clear" w:color="auto" w:fill="FFFFFF"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5C172FE1" wp14:editId="4C53C58E">
                        <wp:extent cx="1919878" cy="1440000"/>
                        <wp:effectExtent l="0" t="0" r="4445" b="8255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07E13D20" wp14:editId="4546E88A">
                        <wp:extent cx="1919878" cy="1440000"/>
                        <wp:effectExtent l="0" t="0" r="4445" b="8255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3728E12A" wp14:editId="5DA95C4D">
                        <wp:extent cx="1919878" cy="1440000"/>
                        <wp:effectExtent l="0" t="0" r="4445" b="8255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5FBF" w:rsidRPr="00EF6CC4" w14:paraId="65AED25E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8D51CE2" w14:textId="3EBB168A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【小倉城】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小倉城是北九州最有名的觀光景點，從1602年開始花了整整7年的時間建造而成，現在已經成爲小蒼的地標性建築。城堡的外觀看起來似乎只有四層樓高，但其實內部有五層樓。城堡內有各式展覽，介紹小倉城的歷史。小倉城的兩側有護城河環繞，另外兩側則為園區廣大的腹地。城堡的庭園區又統稱勝山公園，每年四月初可見滿開的櫻花花海</w:t>
                  </w:r>
                </w:p>
                <w:p w14:paraId="30AC04BF" w14:textId="2A5C8A8B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【魚町銀天街】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日本第一個有屋頂的拱廊商業街，魚町銀天街起源於1602年小倉城修建的城下町，當時這帶商業區又稱為魚町，在1951年建成日本第一批的商店街拱廊，當時這條130公尺長的商店街，又名為「天篷銀光閃耀之街」。從魚町一丁目到三丁目，這條街道上擠滿了美食店、百貨店等等，您可以漫步街區，感受這裡熱鬧的氛圍。</w:t>
                  </w:r>
                </w:p>
                <w:p w14:paraId="4F540774" w14:textId="3B3BCB3E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【旦過市場】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旦過市場是位於日本福岡縣北九州市小倉北區魚町的一座市場，有「北九州的廚房」之稱。市場內林立著約 120 家店鋪，從店頭擺著現炸雞塊的熟食店、販售新鮮生魚片的鮮魚店到蔬果店、咖啡廳、居酒屋等皆一應俱全。</w:t>
                  </w:r>
                </w:p>
              </w:tc>
            </w:tr>
            <w:tr w:rsidR="00865FBF" w:rsidRPr="00EF6CC4" w14:paraId="2AAB6475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0"/>
                    <w:gridCol w:w="3310"/>
                    <w:gridCol w:w="3310"/>
                  </w:tblGrid>
                  <w:tr w:rsidR="00865FBF" w:rsidRPr="00EF6CC4" w14:paraId="0B09F655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7EC94932" w14:textId="577671D9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住宿：【福岡CROSS Life飯店／福岡ARK飯店／Quintessa系列飯店 】或【 Hotel Trad 博多 】或【 福岡蒙特利飯店】或同等級旅館</w:t>
                        </w:r>
                      </w:p>
                    </w:tc>
                  </w:tr>
                  <w:tr w:rsidR="00865FBF" w:rsidRPr="00EF6CC4" w14:paraId="1795CE71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83BD567" w14:textId="7A5BDBE0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4A767E93" w14:textId="310F29A5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中餐：日式風味餐￥2000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EE2A30C" w14:textId="2DBD6FCA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691D78AD" w14:textId="77777777" w:rsidR="00865FBF" w:rsidRPr="00EF6CC4" w:rsidRDefault="00865FBF" w:rsidP="00DE3747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865FBF" w:rsidRPr="00EF6CC4" w14:paraId="15B633CD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D9578B" w14:textId="77777777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3 天 飯店→日本學問之神！【太宰府天滿宮】御神牛傳說~心字池~特色神籤~必打卡！特色木架星巴克~特別贈送</w:t>
                  </w:r>
                  <w:r w:rsidRPr="00EF6CC4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★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梅枝餅→好運強強滾！【太宰府旅人觀光列車】→免稅店→福岡新地標！LaLaport福岡購物中心+1:1實體鋼彈機器人→福岡飯店</w:t>
                  </w:r>
                </w:p>
                <w:p w14:paraId="5683B4A6" w14:textId="6CEA8E7E" w:rsidR="00524259" w:rsidRPr="00EF6CC4" w:rsidRDefault="00524259" w:rsidP="00DE3747">
                  <w:pPr>
                    <w:widowControl/>
                    <w:shd w:val="clear" w:color="auto" w:fill="FFFFFF"/>
                    <w:spacing w:line="0" w:lineRule="atLeast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1D202D37" wp14:editId="6B639F1C">
                        <wp:extent cx="1919878" cy="1440000"/>
                        <wp:effectExtent l="0" t="0" r="4445" b="8255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4BE421D4" wp14:editId="637B8785">
                        <wp:extent cx="1919878" cy="1440000"/>
                        <wp:effectExtent l="0" t="0" r="4445" b="8255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6CC4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16F972CD" wp14:editId="78B8C571">
                        <wp:extent cx="1919878" cy="1440000"/>
                        <wp:effectExtent l="0" t="0" r="4445" b="8255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5FBF" w:rsidRPr="00EF6CC4" w14:paraId="0CB62A58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D6EF8B" w14:textId="7D69689D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【太宰府天滿宮】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福岡最美神社景點「太宰府天滿宮」，日本著名的求學業神社，沿著太宰府天滿宮表參道，道路盡頭即為太宰府天滿宮。表參道雖不長，卻有非常多特別的在地小吃，例如梅枝餅，是當地人特別喜愛的一種糯米紅豆餅，還有融合在地風貌的隈研吾設計建築福岡太宰府星巴克！。穿過高大的鳥居進入神社，便可看到三座架於池上的神橋，池內養有錦鯉和水龜，池子為日文漢字「心」的形狀。為福岡知名的旅遊勝地，神社每年吸引超過千萬名遊客造訪。</w:t>
                  </w:r>
                </w:p>
                <w:p w14:paraId="5ABFF692" w14:textId="4FDF3E27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【太宰府旅人觀光列車】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「旅人」之名源自在太宰府當地留下大量和歌的詩人大伴旅人，同時還含有環遊太宰府的列車之意。列車外部描繪著太宰府各處觀光名勝與四季花卉，內部則由5種開運紋樣構成，整部列車仿佛是日本畫的世界，洋溢著濃郁日式風情。遊客可享受太宰府打造的車內空間，在前往目的地的旅途中留下一段美好的回憶。</w:t>
                  </w:r>
                </w:p>
                <w:p w14:paraId="2405C729" w14:textId="42604665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b/>
                      <w:bCs/>
                      <w:color w:val="800000"/>
                      <w:kern w:val="0"/>
                      <w:sz w:val="22"/>
                    </w:rPr>
                    <w:t>【LaLaport福岡購物中心】</w:t>
                  </w: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來自日本三井集團的lalaport福岡，於2022年開幕，也是九州第一間LaLaport購物中心。面積廣闊，86,600平方公尺的設施內，有超過200間店舖，時裝品牌到雜貨小店應有盡有，並設有多達21間餐廳，買東西、吃美食都很方便！最具代表性的就是一旁的鋼彈模型,全日本最高1:1大小的巨型鋼彈「RX-93ffν鋼彈」，由《機動戰士鋼彈》系列總監設計的立像身高高達24.8公尺，為歷代實體鋼彈立像中最大的一座！</w:t>
                  </w:r>
                </w:p>
              </w:tc>
            </w:tr>
            <w:tr w:rsidR="00865FBF" w:rsidRPr="00EF6CC4" w14:paraId="4135A65E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5"/>
                    <w:gridCol w:w="3636"/>
                    <w:gridCol w:w="3309"/>
                  </w:tblGrid>
                  <w:tr w:rsidR="00865FBF" w:rsidRPr="00EF6CC4" w14:paraId="1768ED4C" w14:textId="77777777" w:rsidTr="00865FBF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3831928" w14:textId="77777777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住宿：【福岡CROSS Life飯店／福岡ARK飯店／Quintessa系列飯店 】或【 Hotel Trad 博多 】或【 福岡蒙特利飯店】 或同等級旅館或同等級旅館</w:t>
                        </w:r>
                      </w:p>
                    </w:tc>
                  </w:tr>
                  <w:tr w:rsidR="00865FBF" w:rsidRPr="00EF6CC4" w14:paraId="313E7AE3" w14:textId="77777777" w:rsidTr="00865FB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F644750" w14:textId="55376DB3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8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510A593" w14:textId="4A784963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中餐：太宰府飛梅料理￥2000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AACC640" w14:textId="03A4413F" w:rsidR="00865FBF" w:rsidRPr="00EF6CC4" w:rsidRDefault="00865FBF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EF6CC4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44FD370C" w14:textId="77777777" w:rsidR="00865FBF" w:rsidRPr="00EF6CC4" w:rsidRDefault="00865FBF" w:rsidP="00DE3747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865FBF" w:rsidRPr="00EF6CC4" w14:paraId="42327ACC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C3D797" w14:textId="0684F4AC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4 天 飯店→全日自由活動</w:t>
                  </w:r>
                  <w:r w:rsidR="00EF6CC4" w:rsidRPr="00EF6CC4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（推薦前往天神地下街 ／ 瑪莉諾亞城 ／ 川端通商店街 ／ HalloDay福岡超巿）</w:t>
                  </w:r>
                </w:p>
              </w:tc>
            </w:tr>
            <w:tr w:rsidR="00865FBF" w:rsidRPr="00EF6CC4" w14:paraId="2D2000E3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4039D" w14:textId="77777777" w:rsidR="00EF6CC4" w:rsidRPr="00EF6CC4" w:rsidRDefault="00EF6CC4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22"/>
                    </w:rPr>
                    <w:t>早餐後~自由活動→推薦前往</w:t>
                  </w:r>
                </w:p>
                <w:p w14:paraId="1463A31C" w14:textId="77777777" w:rsidR="00EF6CC4" w:rsidRPr="00EF6CC4" w:rsidRDefault="00EF6CC4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天神地下街】福岡市區就屬天神區最為熱鬧，接連了五大百貨更是交通樞紐的聯絡通道，所以不管是白天或晚上，人潮總是絡繹不絕，地下街設計的很歐洲，就像走入了電影裡哈利波特的九又四分之三月台，處處可發現別緻的端景跟裝飾，在這逛街相當輕鬆自在，這也難怪有這麼多人喜愛住在這一區了，隨時都可以逛街享受美食。</w:t>
                  </w:r>
                </w:p>
                <w:p w14:paraId="22DE46B3" w14:textId="77777777" w:rsidR="00EF6CC4" w:rsidRPr="00EF6CC4" w:rsidRDefault="00EF6CC4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【瑪莉諾亞城】福岡Outlet，Marinoa City FUKUOKA，是最靠近福岡的大型購物商城了，從福岡的博多車站出發只要一班車即可到達，實在太方便。</w:t>
                  </w:r>
                </w:p>
                <w:p w14:paraId="0E52DF58" w14:textId="632D9020" w:rsidR="00EF6CC4" w:rsidRPr="00EF6CC4" w:rsidRDefault="00EF6CC4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【川端通商店街】離博多車站約16分鐘的距離位於河道旁，擁有130年以上的歷史，是博多最古老的商店街，接連著許多的景點，像是一蘭拉麵的總本店、櫛田神社跟CANAL CITY 博多（博多運河城），都在附近。東西琳瑯滿目。</w:t>
                  </w:r>
                </w:p>
                <w:p w14:paraId="259DADC4" w14:textId="1C4EEAA5" w:rsidR="00865FBF" w:rsidRPr="00EF6CC4" w:rsidRDefault="00EF6CC4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【HalloDay福岡超巿】這一間分店位於購物中心MARK IS 福岡momochi一樓，會建議大家先去逛購物中心，留半小時以上的時間來逛超市，才不會一開始在超市買太多東西，HalloDay福岡超市商品種類超多，熱愛日本調味料與食品的重度患者，非常推薦可以來逛逛HalloDay，保證收穫滿滿，愛逛超市的人半小時是絕對不夠的阿千萬不要錯過了。</w:t>
                  </w:r>
                </w:p>
              </w:tc>
            </w:tr>
            <w:tr w:rsidR="00865FBF" w:rsidRPr="00EF6CC4" w14:paraId="798D1D8C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CEBF49" w14:textId="77777777" w:rsidR="00865FBF" w:rsidRPr="00EF6CC4" w:rsidRDefault="00865FBF" w:rsidP="00DE3747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65FBF" w:rsidRPr="00EF6CC4" w14:paraId="50E5944C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0"/>
                    <w:gridCol w:w="3310"/>
                    <w:gridCol w:w="3310"/>
                  </w:tblGrid>
                  <w:tr w:rsidR="00EF6CC4" w:rsidRPr="00DE3747" w14:paraId="6612AB97" w14:textId="77777777" w:rsidTr="00924C0A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63B65CCA" w14:textId="77777777" w:rsidR="00EF6CC4" w:rsidRPr="00DE3747" w:rsidRDefault="00EF6CC4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住宿：【福岡CROSS Life飯店／福岡ARK飯店／Quintessa系列飯店 】或【 Hotel Trad 博多 】或【 福岡蒙特利飯店】 或同等級旅館或同等級旅館</w:t>
                        </w:r>
                      </w:p>
                    </w:tc>
                  </w:tr>
                  <w:tr w:rsidR="00EF6CC4" w:rsidRPr="00DE3747" w14:paraId="768A3682" w14:textId="77777777" w:rsidTr="00924C0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54DA382" w14:textId="77777777" w:rsidR="00EF6CC4" w:rsidRPr="00DE3747" w:rsidRDefault="00EF6CC4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E86A265" w14:textId="77777777" w:rsidR="00EF6CC4" w:rsidRPr="00DE3747" w:rsidRDefault="00EF6CC4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中餐：方便遊玩~敬請自理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4E10D362" w14:textId="77777777" w:rsidR="00EF6CC4" w:rsidRPr="00DE3747" w:rsidRDefault="00EF6CC4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26456FFA" w14:textId="77777777" w:rsidR="00865FBF" w:rsidRPr="00EF6CC4" w:rsidRDefault="00865FBF" w:rsidP="00DE3747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865FBF" w:rsidRPr="00EF6CC4" w14:paraId="637B7419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B43C55" w14:textId="3E39AEDB" w:rsidR="00865FBF" w:rsidRPr="00EF6CC4" w:rsidRDefault="00865FBF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6CC4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5 天 飯店→自由活動~</w:t>
                  </w:r>
                  <w:r w:rsidR="00EF6CC4" w:rsidRPr="00EF6CC4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在有「日本地中海」美名的五個世紀悠久魅力四射九州進行一日城市探索</w:t>
                  </w:r>
                  <w:r w:rsidRPr="00EF6CC4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→北九州空港 / 桃園國際機場</w:t>
                  </w:r>
                </w:p>
              </w:tc>
            </w:tr>
            <w:tr w:rsidR="00EF6CC4" w:rsidRPr="00EF6CC4" w14:paraId="38B1BDD9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C6A93B" w14:textId="77777777" w:rsidR="00EF6CC4" w:rsidRPr="00EF6CC4" w:rsidRDefault="00EF6CC4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早餐後~</w:t>
                  </w:r>
                </w:p>
                <w:p w14:paraId="1221E097" w14:textId="446FE78C" w:rsidR="00EF6CC4" w:rsidRPr="00EF6CC4" w:rsidRDefault="00EF6CC4" w:rsidP="00DE3747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EF6CC4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整理行囊準備前往機場。帶著五天滿滿的回憶和依依不捨的心情，搭乘客機返回溫暖的家，結束此次在日本愉快難忘的五日遊。</w:t>
                  </w:r>
                </w:p>
              </w:tc>
            </w:tr>
            <w:tr w:rsidR="00865FBF" w:rsidRPr="00EF6CC4" w14:paraId="74D76CB9" w14:textId="77777777" w:rsidTr="00DE374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0"/>
                    <w:gridCol w:w="3310"/>
                    <w:gridCol w:w="3310"/>
                  </w:tblGrid>
                  <w:tr w:rsidR="00DE3747" w:rsidRPr="00DE3747" w14:paraId="7EA1F5A6" w14:textId="77777777" w:rsidTr="00924C0A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565B10D7" w14:textId="77777777" w:rsidR="00DE3747" w:rsidRPr="00DE3747" w:rsidRDefault="00DE3747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住宿：溫暖的家</w:t>
                        </w:r>
                      </w:p>
                    </w:tc>
                  </w:tr>
                  <w:tr w:rsidR="00DE3747" w:rsidRPr="00DE3747" w14:paraId="4929CF34" w14:textId="77777777" w:rsidTr="00924C0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659D093" w14:textId="77777777" w:rsidR="00DE3747" w:rsidRPr="00DE3747" w:rsidRDefault="00DE3747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EA36733" w14:textId="77777777" w:rsidR="00DE3747" w:rsidRPr="00DE3747" w:rsidRDefault="00DE3747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中餐：方便遊玩~敬請自理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DBAFA87" w14:textId="77777777" w:rsidR="00DE3747" w:rsidRPr="00DE3747" w:rsidRDefault="00DE3747" w:rsidP="00DE3747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DE3747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晚餐：方便遊玩~敬請自理+機上飲品</w:t>
                        </w:r>
                      </w:p>
                    </w:tc>
                  </w:tr>
                </w:tbl>
                <w:p w14:paraId="15CD0221" w14:textId="77777777" w:rsidR="00865FBF" w:rsidRPr="00DE3747" w:rsidRDefault="00865FBF" w:rsidP="00DE3747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754B7C5" w14:textId="77777777" w:rsidR="00865FBF" w:rsidRPr="00EF6CC4" w:rsidRDefault="00865FBF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AC43A" w14:textId="77777777" w:rsidR="00865FBF" w:rsidRPr="00EF6CC4" w:rsidRDefault="00865FBF" w:rsidP="00EF6CC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865FBF" w:rsidRPr="00DE3747" w14:paraId="63277061" w14:textId="77777777" w:rsidTr="00DE37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05660E5" w14:textId="0F1B1659" w:rsidR="00865FBF" w:rsidRPr="00DE3747" w:rsidRDefault="00865FBF" w:rsidP="00EF6CC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DE374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【本行程之各項內容及價格因季節、氣候等其他因素而有所變動，請依出發前說明會資料為主，不另行通知】</w:t>
            </w: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4CD0039D" w14:textId="77777777" w:rsidR="00865FBF" w:rsidRPr="00DE3747" w:rsidRDefault="00865FBF" w:rsidP="00EF6CC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</w:tbl>
    <w:p w14:paraId="01F27C0E" w14:textId="77777777" w:rsidR="00A45E83" w:rsidRPr="00DE3747" w:rsidRDefault="00A45E83" w:rsidP="00DE3747">
      <w:pPr>
        <w:spacing w:line="0" w:lineRule="atLeast"/>
        <w:rPr>
          <w:rFonts w:ascii="微軟正黑體" w:eastAsia="微軟正黑體" w:hAnsi="微軟正黑體"/>
          <w:sz w:val="22"/>
        </w:rPr>
      </w:pPr>
    </w:p>
    <w:sectPr w:rsidR="00A45E83" w:rsidRPr="00DE3747" w:rsidSect="00865F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1F70" w14:textId="77777777" w:rsidR="007249C6" w:rsidRDefault="007249C6" w:rsidP="00F963CD">
      <w:r>
        <w:separator/>
      </w:r>
    </w:p>
  </w:endnote>
  <w:endnote w:type="continuationSeparator" w:id="0">
    <w:p w14:paraId="371FBA18" w14:textId="77777777" w:rsidR="007249C6" w:rsidRDefault="007249C6" w:rsidP="00F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20BD" w14:textId="77777777" w:rsidR="007249C6" w:rsidRDefault="007249C6" w:rsidP="00F963CD">
      <w:r>
        <w:separator/>
      </w:r>
    </w:p>
  </w:footnote>
  <w:footnote w:type="continuationSeparator" w:id="0">
    <w:p w14:paraId="5C2B0AA8" w14:textId="77777777" w:rsidR="007249C6" w:rsidRDefault="007249C6" w:rsidP="00F9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F"/>
    <w:rsid w:val="00031960"/>
    <w:rsid w:val="000E0712"/>
    <w:rsid w:val="000E3A0C"/>
    <w:rsid w:val="000E7F96"/>
    <w:rsid w:val="003568C1"/>
    <w:rsid w:val="00524259"/>
    <w:rsid w:val="007249C6"/>
    <w:rsid w:val="00865FBF"/>
    <w:rsid w:val="00A45E83"/>
    <w:rsid w:val="00C91454"/>
    <w:rsid w:val="00D82FE7"/>
    <w:rsid w:val="00DE3747"/>
    <w:rsid w:val="00EF6CC4"/>
    <w:rsid w:val="00F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438D"/>
  <w15:chartTrackingRefBased/>
  <w15:docId w15:val="{D103E9C6-F0A5-40F6-B16E-D47CCC47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top">
    <w:name w:val="title_top"/>
    <w:basedOn w:val="a0"/>
    <w:rsid w:val="00865FBF"/>
  </w:style>
  <w:style w:type="paragraph" w:styleId="Web">
    <w:name w:val="Normal (Web)"/>
    <w:basedOn w:val="a"/>
    <w:uiPriority w:val="99"/>
    <w:semiHidden/>
    <w:unhideWhenUsed/>
    <w:rsid w:val="00865F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65FBF"/>
    <w:rPr>
      <w:b/>
      <w:bCs/>
    </w:rPr>
  </w:style>
  <w:style w:type="character" w:styleId="a4">
    <w:name w:val="Hyperlink"/>
    <w:basedOn w:val="a0"/>
    <w:uiPriority w:val="99"/>
    <w:semiHidden/>
    <w:unhideWhenUsed/>
    <w:rsid w:val="00865FB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9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3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3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九州好好玩．一日自遊行５+１日</dc:title>
  <dc:subject/>
  <dc:creator>user</dc:creator>
  <cp:keywords/>
  <dc:description/>
  <cp:lastModifiedBy>user</cp:lastModifiedBy>
  <cp:revision>5</cp:revision>
  <dcterms:created xsi:type="dcterms:W3CDTF">2024-11-20T07:21:00Z</dcterms:created>
  <dcterms:modified xsi:type="dcterms:W3CDTF">2024-11-20T07:24:00Z</dcterms:modified>
</cp:coreProperties>
</file>